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8" w:rsidRPr="005F4CE8" w:rsidRDefault="005F4CE8" w:rsidP="005F4CE8">
      <w:pPr>
        <w:pStyle w:val="a3"/>
        <w:rPr>
          <w:b/>
        </w:rPr>
      </w:pPr>
      <w:r w:rsidRPr="005F4CE8">
        <w:rPr>
          <w:b/>
        </w:rPr>
        <w:t>Перечень основных нормативных правовых актов в сфере борьбы с коррупцией</w:t>
      </w:r>
    </w:p>
    <w:p w:rsidR="005F4CE8" w:rsidRPr="005F4CE8" w:rsidRDefault="005E6193" w:rsidP="005F4CE8">
      <w:pPr>
        <w:pStyle w:val="a3"/>
      </w:pPr>
      <w:hyperlink r:id="rId4" w:history="1">
        <w:r w:rsidR="005F4CE8" w:rsidRPr="005F4CE8">
          <w:rPr>
            <w:rStyle w:val="a4"/>
            <w:color w:val="auto"/>
          </w:rPr>
          <w:t>Закон Республики Беларусь от 15 июля 2015 г. № 305-3 «О борьбе с коррупцией»</w:t>
        </w:r>
      </w:hyperlink>
      <w:r w:rsidR="005F4CE8" w:rsidRPr="005F4CE8">
        <w:t xml:space="preserve"> </w:t>
      </w:r>
    </w:p>
    <w:p w:rsidR="005F4CE8" w:rsidRPr="005F4CE8" w:rsidRDefault="005E6193" w:rsidP="005F4CE8">
      <w:pPr>
        <w:pStyle w:val="a3"/>
      </w:pPr>
      <w:hyperlink r:id="rId5" w:history="1">
        <w:r w:rsidR="005F4CE8" w:rsidRPr="005F4CE8">
          <w:rPr>
            <w:rStyle w:val="a4"/>
            <w:color w:val="auto"/>
          </w:rPr>
          <w:t>Закон Республики Беларусь от 14 июня 2003 г. № 204-З «О государственной службе в Республике Беларусь»</w:t>
        </w:r>
      </w:hyperlink>
      <w:r w:rsidR="005F4CE8" w:rsidRPr="005F4CE8">
        <w:t xml:space="preserve"> </w:t>
      </w:r>
    </w:p>
    <w:p w:rsidR="005F4CE8" w:rsidRPr="005F4CE8" w:rsidRDefault="005E6193" w:rsidP="005F4CE8">
      <w:pPr>
        <w:pStyle w:val="a3"/>
      </w:pPr>
      <w:hyperlink r:id="rId6" w:history="1">
        <w:r w:rsidR="005F4CE8" w:rsidRPr="005F4CE8">
          <w:rPr>
            <w:rStyle w:val="a4"/>
            <w:color w:val="auto"/>
          </w:rPr>
          <w:t>Закон Республики Беларусь от 04 января 2014 г. № 122-З «Об основах деятельности по профилактике правонарушений»</w:t>
        </w:r>
      </w:hyperlink>
      <w:r w:rsidR="005F4CE8" w:rsidRPr="005F4CE8">
        <w:t xml:space="preserve"> </w:t>
      </w:r>
    </w:p>
    <w:p w:rsidR="005F4CE8" w:rsidRPr="005F4CE8" w:rsidRDefault="005E6193" w:rsidP="005F4CE8">
      <w:pPr>
        <w:pStyle w:val="a3"/>
      </w:pPr>
      <w:hyperlink r:id="rId7" w:history="1">
        <w:r w:rsidR="005F4CE8" w:rsidRPr="005F4CE8">
          <w:rPr>
            <w:rStyle w:val="a4"/>
            <w:color w:val="auto"/>
          </w:rPr>
          <w:t>Закон Республики Беларусь от 4 января 2003 г. № 174-З «О декларировании физическими лицами доходов и имущества»</w:t>
        </w:r>
      </w:hyperlink>
      <w:r w:rsidR="005F4CE8" w:rsidRPr="005F4CE8">
        <w:t xml:space="preserve"> </w:t>
      </w:r>
    </w:p>
    <w:p w:rsidR="005F4CE8" w:rsidRPr="005F4CE8" w:rsidRDefault="005E6193" w:rsidP="005F4CE8">
      <w:pPr>
        <w:pStyle w:val="a3"/>
      </w:pPr>
      <w:hyperlink r:id="rId8" w:history="1">
        <w:r w:rsidR="005F4CE8" w:rsidRPr="005F4CE8">
          <w:rPr>
            <w:rStyle w:val="a4"/>
            <w:color w:val="auto"/>
          </w:rPr>
          <w:t>Уголовный кодекс Республики Беларусь от 9 июля 1999 г. № 275-З</w:t>
        </w:r>
      </w:hyperlink>
      <w:r w:rsidR="005F4CE8" w:rsidRPr="005F4CE8">
        <w:t xml:space="preserve"> </w:t>
      </w:r>
    </w:p>
    <w:p w:rsidR="005F4CE8" w:rsidRPr="005F4CE8" w:rsidRDefault="005E6193" w:rsidP="005F4CE8">
      <w:pPr>
        <w:pStyle w:val="a3"/>
      </w:pPr>
      <w:hyperlink r:id="rId9" w:history="1">
        <w:r w:rsidR="005F4CE8" w:rsidRPr="005F4CE8">
          <w:rPr>
            <w:rStyle w:val="a4"/>
            <w:color w:val="auto"/>
          </w:rPr>
          <w:t>Кодекс Республики Беларусь об административных правонарушениях от 21 апреля 2003 г. № 194-З</w:t>
        </w:r>
      </w:hyperlink>
      <w:r w:rsidR="005F4CE8" w:rsidRPr="005F4CE8">
        <w:t xml:space="preserve"> </w:t>
      </w:r>
    </w:p>
    <w:p w:rsidR="005F4CE8" w:rsidRDefault="005F4CE8" w:rsidP="005F4CE8">
      <w:pPr>
        <w:pStyle w:val="a3"/>
        <w:jc w:val="both"/>
      </w:pPr>
      <w:r>
        <w:rPr>
          <w:rStyle w:val="a5"/>
        </w:rPr>
        <w:t>Примечание: «При наличии признаков коррупционных правонарушений или правонарушений, создающих условия для коррупции (статьи 25 и 37 Закона Республики Беларусь «О борьбе с коррупцией»), к административным правонарушениям, связанным с коррупцией, могут быть отнесены правонарушения, предусмотренные статьями 9.6, 9.13, 9.26, 10.5, 11.16, 11.77, 23.81, 23.82, 23.83, 23.84 Кодекса Республики Беларусь об административных правонарушениях».</w:t>
      </w:r>
      <w:r>
        <w:t xml:space="preserve"> </w:t>
      </w:r>
    </w:p>
    <w:p w:rsidR="005F4CE8" w:rsidRPr="0083572F" w:rsidRDefault="005E6193" w:rsidP="005F4CE8">
      <w:pPr>
        <w:pStyle w:val="a3"/>
      </w:pPr>
      <w:hyperlink r:id="rId10" w:history="1">
        <w:r w:rsidR="005F4CE8" w:rsidRPr="0083572F">
          <w:rPr>
            <w:rStyle w:val="a4"/>
            <w:color w:val="auto"/>
          </w:rPr>
          <w:t>Трудовой кодекс Республики Беларусь от 26 июля 1999 г. № 296-З</w:t>
        </w:r>
      </w:hyperlink>
      <w:r w:rsidR="005F4CE8" w:rsidRPr="0083572F">
        <w:t xml:space="preserve"> </w:t>
      </w:r>
    </w:p>
    <w:p w:rsidR="005F4CE8" w:rsidRDefault="005F4CE8" w:rsidP="005F4CE8">
      <w:pPr>
        <w:pStyle w:val="a3"/>
      </w:pPr>
      <w:r>
        <w:rPr>
          <w:rStyle w:val="a5"/>
        </w:rPr>
        <w:t>Примечание: «Трудовым кодексом Республики Беларусь установлены:</w:t>
      </w:r>
      <w:r>
        <w:br/>
      </w:r>
      <w:r>
        <w:rPr>
          <w:rStyle w:val="a5"/>
        </w:rPr>
        <w:t>в статье 27 - ограничения совместной работы в государственных организациях (их обособленных подразделениях) супругов, близких родственников и свойственников;</w:t>
      </w:r>
      <w:r>
        <w:t xml:space="preserve"> </w:t>
      </w:r>
    </w:p>
    <w:p w:rsidR="005F4CE8" w:rsidRDefault="005F4CE8" w:rsidP="005F4CE8">
      <w:pPr>
        <w:pStyle w:val="a3"/>
      </w:pPr>
      <w:r>
        <w:rPr>
          <w:rStyle w:val="a5"/>
        </w:rPr>
        <w:t xml:space="preserve">в пункте 5 статьи 47 – право нанимателя на прекращение трудового договора с государственным должностным лицом за </w:t>
      </w:r>
      <w:proofErr w:type="spellStart"/>
      <w:r>
        <w:rPr>
          <w:rStyle w:val="a5"/>
        </w:rPr>
        <w:t>неподписание</w:t>
      </w:r>
      <w:proofErr w:type="spellEnd"/>
      <w:r>
        <w:rPr>
          <w:rStyle w:val="a5"/>
        </w:rPr>
        <w:t xml:space="preserve"> обязательства по соблюдению антикоррупционных ограничений;</w:t>
      </w:r>
      <w:r>
        <w:t xml:space="preserve"> </w:t>
      </w:r>
    </w:p>
    <w:p w:rsidR="005F4CE8" w:rsidRDefault="005F4CE8" w:rsidP="005F4CE8">
      <w:pPr>
        <w:pStyle w:val="a3"/>
      </w:pPr>
      <w:r>
        <w:rPr>
          <w:rStyle w:val="a5"/>
        </w:rPr>
        <w:t>в пункте 5-1 статьи 47 – право нанимателя на прекращение трудового договора с государственным должностным лицом за нарушение обязательства по соблюдению антикоррупционных ограничений, а также за совершение правонарушения, создающего условия для коррупции, или коррупционного правонарушения;</w:t>
      </w:r>
      <w:r>
        <w:t xml:space="preserve"> </w:t>
      </w:r>
    </w:p>
    <w:p w:rsidR="005F4CE8" w:rsidRDefault="005F4CE8" w:rsidP="005F4CE8">
      <w:pPr>
        <w:pStyle w:val="a3"/>
      </w:pPr>
      <w:r>
        <w:rPr>
          <w:rStyle w:val="a5"/>
        </w:rPr>
        <w:t>в статье 255 – ограничения работы по совместительству для руководителей государственных организаций и организаций, в уставных фондах которых 50 и более процентов акций (долей) находятся в государственной собственности, а также запрет для руководителей организаций любых форм собственности входить в состав органов, осуществляющих функции надзора и контроля в соответствующих организациях».</w:t>
      </w:r>
      <w:r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1" w:history="1">
        <w:r w:rsidR="005F4CE8" w:rsidRPr="00EE192A">
          <w:rPr>
            <w:rStyle w:val="a4"/>
            <w:color w:val="auto"/>
          </w:rPr>
          <w:t>Декрет Президента Республики Беларусь от 15 декабря 2014 г. № 5 «Об усилении требований к руководящим кадрам и работникам организаций»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2" w:history="1">
        <w:r w:rsidR="005F4CE8" w:rsidRPr="00EE192A">
          <w:rPr>
            <w:rStyle w:val="a4"/>
            <w:color w:val="auto"/>
          </w:rPr>
          <w:t>Постановление Совета Министров Республики Беларусь от 26 декабря 2011 г. №1732 «Об утверждении Типового положения о комиссии по противодействию коррупции»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3" w:history="1">
        <w:r w:rsidR="005F4CE8" w:rsidRPr="00EE192A">
          <w:rPr>
            <w:rStyle w:val="a4"/>
            <w:color w:val="auto"/>
          </w:rPr>
          <w:t>Постановление Совета Министров Республики Беларусь от 16 января 2016 г. № 19 «О некоторых вопросах декларирования доходов и имущества государственными служащими и иными категориями лиц»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4" w:history="1">
        <w:r w:rsidR="005F4CE8" w:rsidRPr="00EE192A">
          <w:rPr>
            <w:rStyle w:val="a4"/>
            <w:color w:val="auto"/>
          </w:rPr>
          <w:t>Постановление Совета Министров Республики Беларусь от 22 января 2016 г. № 45 «Об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5" w:history="1">
        <w:r w:rsidR="005F4CE8" w:rsidRPr="00EE192A">
          <w:rPr>
            <w:rStyle w:val="a4"/>
            <w:color w:val="auto"/>
          </w:rPr>
          <w:t>Постановление Совета Министров Республики Беларусь от 5 февраля 2016 г. № 101 «О выплате вознаграждения и других выплат физическому лицу, способствующему выявлению коррупции»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6" w:history="1">
        <w:r w:rsidR="005F4CE8" w:rsidRPr="00EE192A">
          <w:rPr>
            <w:rStyle w:val="a4"/>
            <w:color w:val="auto"/>
          </w:rPr>
          <w:t>Постановление Министерства по налогам и сборам Республики Беларусь от 9 января 2008 г. №1 «Об утверждении Инструкции о порядке заполнения деклараций о доходах и имуществе»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7" w:history="1">
        <w:r w:rsidR="005F4CE8" w:rsidRPr="00EE192A">
          <w:rPr>
            <w:rStyle w:val="a4"/>
            <w:color w:val="auto"/>
          </w:rPr>
          <w:t>Заключение Конституционного Суда Республики Беларусь от 12 ноября 2001 г. № З-129/2001 «О соответствии Конституции положения пункта 3 части четвертой статьи 4 Уголовного Кодекса Республики Беларусь и основанной на нем практики применения понятия должностного лица по признаку совершения юридически значимых действий»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8" w:history="1">
        <w:r w:rsidR="005F4CE8" w:rsidRPr="00EE192A">
          <w:rPr>
            <w:rStyle w:val="a4"/>
            <w:color w:val="auto"/>
          </w:rPr>
          <w:t>Решение Конституционного Суда Республики Беларусь от 16 декабря 2009 г. № Р-384/2009 «О необходимости разрешения коллизии между нормами законодательных актов, предусматривающих дополнительное основание прекращения трудового договора по пункту 5 статьи 47 Трудового кодекса Республики Беларусь»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19" w:history="1">
        <w:r w:rsidR="005F4CE8" w:rsidRPr="00EE192A">
          <w:rPr>
            <w:rStyle w:val="a4"/>
            <w:color w:val="auto"/>
          </w:rPr>
          <w:t>Решение Конституционного Суда Республики Беларусь от 19 декабря 2011 г. № Р-655/2011 «О соответствии Конституции Республики Беларусь Закона Республики Беларусь «О внесении изменений и дополнений в Закон Республики Беларусь «О борьбе с коррупцией»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20" w:history="1">
        <w:r w:rsidR="005F4CE8" w:rsidRPr="00EE192A">
          <w:rPr>
            <w:rStyle w:val="a4"/>
            <w:color w:val="auto"/>
          </w:rPr>
          <w:t>Решение Конституционного Суда Республики Беларусь от 8 июля 2015 г. № Р-999/2015 «О соответствии Конституции Республики Беларусь Закона Республики Беларусь «О борьбе с коррупцией»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21" w:history="1">
        <w:r w:rsidR="005F4CE8" w:rsidRPr="00EE192A">
          <w:rPr>
            <w:rStyle w:val="a4"/>
            <w:color w:val="auto"/>
          </w:rPr>
          <w:t>Постановление Пленума Верховного Суда Республики Беларусь от 26 июня 2003 г. № 6 «О судебной практике по делам о взяточничестве»</w:t>
        </w:r>
      </w:hyperlink>
      <w:r w:rsidR="005F4CE8" w:rsidRPr="00EE192A">
        <w:t xml:space="preserve"> </w:t>
      </w:r>
    </w:p>
    <w:p w:rsidR="005F4CE8" w:rsidRPr="00EE192A" w:rsidRDefault="005E6193" w:rsidP="00EE192A">
      <w:pPr>
        <w:pStyle w:val="a3"/>
        <w:jc w:val="both"/>
      </w:pPr>
      <w:hyperlink r:id="rId22" w:history="1">
        <w:r w:rsidR="005F4CE8" w:rsidRPr="00EE192A">
          <w:rPr>
            <w:rStyle w:val="a4"/>
            <w:color w:val="auto"/>
          </w:rPr>
          <w:t>Постановление Пленума Верховного Суда Республики Беларусь от 16 декабря 2004 г. №12 «О судебной практике по делам о преступлениях против интересов службы (ст.ст.424-428 УК)»</w:t>
        </w:r>
      </w:hyperlink>
      <w:r w:rsidR="005F4CE8" w:rsidRPr="00EE192A">
        <w:t xml:space="preserve"> </w:t>
      </w:r>
    </w:p>
    <w:p w:rsidR="00BE619B" w:rsidRDefault="00BE619B" w:rsidP="00EE192A">
      <w:pPr>
        <w:jc w:val="both"/>
      </w:pPr>
    </w:p>
    <w:sectPr w:rsidR="00BE619B" w:rsidSect="00BE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CE8"/>
    <w:rsid w:val="005E6193"/>
    <w:rsid w:val="005F4CE8"/>
    <w:rsid w:val="0083572F"/>
    <w:rsid w:val="00BE619B"/>
    <w:rsid w:val="00C31D42"/>
    <w:rsid w:val="00E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CE8"/>
    <w:rPr>
      <w:color w:val="0000FF"/>
      <w:u w:val="single"/>
    </w:rPr>
  </w:style>
  <w:style w:type="character" w:styleId="a5">
    <w:name w:val="Emphasis"/>
    <w:basedOn w:val="a0"/>
    <w:uiPriority w:val="20"/>
    <w:qFormat/>
    <w:rsid w:val="005F4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3961&amp;p0=HK9900275" TargetMode="External"/><Relationship Id="rId13" Type="http://schemas.openxmlformats.org/officeDocument/2006/relationships/hyperlink" Target="http://pravo.by/document/?guid=3961&amp;p0=C21600019" TargetMode="External"/><Relationship Id="rId18" Type="http://schemas.openxmlformats.org/officeDocument/2006/relationships/hyperlink" Target="http://pravo.by/document/?guid=3961&amp;p0=K909003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by/document/?guid=3961&amp;p0=S20300006" TargetMode="External"/><Relationship Id="rId7" Type="http://schemas.openxmlformats.org/officeDocument/2006/relationships/hyperlink" Target="http://pravo.by/document/?guid=3961&amp;p0=H10300174" TargetMode="External"/><Relationship Id="rId12" Type="http://schemas.openxmlformats.org/officeDocument/2006/relationships/hyperlink" Target="http://pravo.by/document/?guid=3961&amp;p0=C21101732" TargetMode="External"/><Relationship Id="rId17" Type="http://schemas.openxmlformats.org/officeDocument/2006/relationships/hyperlink" Target="http://pravo.by/document/?guid=3961&amp;p0=K501001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by/document/?guid=3961&amp;p0=W20817975" TargetMode="External"/><Relationship Id="rId20" Type="http://schemas.openxmlformats.org/officeDocument/2006/relationships/hyperlink" Target="http://pravo.by/document/?guid=3961&amp;p0=K9150099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by/document/?guid=3961&amp;p0=H11400122" TargetMode="External"/><Relationship Id="rId11" Type="http://schemas.openxmlformats.org/officeDocument/2006/relationships/hyperlink" Target="http://pravo.by/document/?guid=3961&amp;p0=Pd140000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by/document/?guid=3961&amp;p0=H10300204" TargetMode="External"/><Relationship Id="rId15" Type="http://schemas.openxmlformats.org/officeDocument/2006/relationships/hyperlink" Target="http://pravo.by/document/?guid=3961&amp;p0=C216001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by/document/?guid=3961&amp;p0=HK9900296" TargetMode="External"/><Relationship Id="rId19" Type="http://schemas.openxmlformats.org/officeDocument/2006/relationships/hyperlink" Target="http://pravo.by/document/?guid=3961&amp;p0=K91100655" TargetMode="External"/><Relationship Id="rId4" Type="http://schemas.openxmlformats.org/officeDocument/2006/relationships/hyperlink" Target="http://pravo.by/document/?guid=3961&amp;p0=H11500305" TargetMode="External"/><Relationship Id="rId9" Type="http://schemas.openxmlformats.org/officeDocument/2006/relationships/hyperlink" Target="http://pravo.by/document/?guid=3961&amp;p0=Hk0300194" TargetMode="External"/><Relationship Id="rId14" Type="http://schemas.openxmlformats.org/officeDocument/2006/relationships/hyperlink" Target="http://pravo.by/document/?guid=3961&amp;p0=C21600045" TargetMode="External"/><Relationship Id="rId22" Type="http://schemas.openxmlformats.org/officeDocument/2006/relationships/hyperlink" Target="http://pravo.by/document/?guid=3961&amp;p0=S204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Юристы (URIST - Yrist)</cp:lastModifiedBy>
  <cp:revision>2</cp:revision>
  <dcterms:created xsi:type="dcterms:W3CDTF">2020-01-27T12:45:00Z</dcterms:created>
  <dcterms:modified xsi:type="dcterms:W3CDTF">2020-03-18T07:15:00Z</dcterms:modified>
</cp:coreProperties>
</file>